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EF" w:rsidRPr="007C77EF" w:rsidRDefault="007C77EF" w:rsidP="007C77EF">
      <w:pPr>
        <w:shd w:val="clear" w:color="auto" w:fill="FFFFFF"/>
        <w:spacing w:after="0"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Contents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1</w:t>
      </w:r>
      <w:r>
        <w:rPr>
          <w:rFonts w:ascii="Trebuchet MS" w:eastAsia="Times New Roman" w:hAnsi="Trebuchet MS" w:cs="Times New Roman"/>
          <w:color w:val="003366"/>
          <w:sz w:val="24"/>
          <w:szCs w:val="24"/>
          <w:lang w:eastAsia="en-GB"/>
        </w:rPr>
        <w:tab/>
      </w:r>
      <w:hyperlink r:id="rId4" w:anchor="1" w:history="1">
        <w:r w:rsidRPr="007C77EF">
          <w:rPr>
            <w:rFonts w:ascii="Trebuchet MS" w:eastAsia="Times New Roman" w:hAnsi="Trebuchet MS" w:cs="Times New Roman"/>
            <w:color w:val="003366"/>
            <w:sz w:val="24"/>
            <w:szCs w:val="24"/>
            <w:u w:val="single"/>
            <w:lang w:eastAsia="en-GB"/>
          </w:rPr>
          <w:t>Personal reliefs</w:t>
        </w:r>
      </w:hyperlink>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2</w:t>
      </w:r>
      <w:r>
        <w:rPr>
          <w:rFonts w:ascii="Trebuchet MS" w:eastAsia="Times New Roman" w:hAnsi="Trebuchet MS" w:cs="Times New Roman"/>
          <w:color w:val="003366"/>
          <w:sz w:val="24"/>
          <w:szCs w:val="24"/>
          <w:lang w:eastAsia="en-GB"/>
        </w:rPr>
        <w:tab/>
      </w:r>
      <w:hyperlink r:id="rId5" w:anchor="2" w:history="1">
        <w:r w:rsidRPr="007C77EF">
          <w:rPr>
            <w:rFonts w:ascii="Trebuchet MS" w:eastAsia="Times New Roman" w:hAnsi="Trebuchet MS" w:cs="Times New Roman"/>
            <w:color w:val="003366"/>
            <w:sz w:val="24"/>
            <w:szCs w:val="24"/>
            <w:u w:val="single"/>
            <w:lang w:eastAsia="en-GB"/>
          </w:rPr>
          <w:t>State pension</w:t>
        </w:r>
      </w:hyperlink>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3</w:t>
      </w:r>
      <w:r>
        <w:rPr>
          <w:rFonts w:ascii="Trebuchet MS" w:eastAsia="Times New Roman" w:hAnsi="Trebuchet MS" w:cs="Times New Roman"/>
          <w:color w:val="003366"/>
          <w:sz w:val="24"/>
          <w:szCs w:val="24"/>
          <w:lang w:eastAsia="en-GB"/>
        </w:rPr>
        <w:tab/>
      </w:r>
      <w:hyperlink r:id="rId6" w:anchor="4" w:history="1">
        <w:r w:rsidRPr="007C77EF">
          <w:rPr>
            <w:rFonts w:ascii="Trebuchet MS" w:eastAsia="Times New Roman" w:hAnsi="Trebuchet MS" w:cs="Times New Roman"/>
            <w:color w:val="003366"/>
            <w:sz w:val="24"/>
            <w:szCs w:val="24"/>
            <w:u w:val="single"/>
            <w:lang w:eastAsia="en-GB"/>
          </w:rPr>
          <w:t>Income from jointly owned assets</w:t>
        </w:r>
      </w:hyperlink>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4</w:t>
      </w:r>
      <w:r>
        <w:rPr>
          <w:rFonts w:ascii="Trebuchet MS" w:eastAsia="Times New Roman" w:hAnsi="Trebuchet MS" w:cs="Times New Roman"/>
          <w:color w:val="003366"/>
          <w:sz w:val="24"/>
          <w:szCs w:val="24"/>
          <w:lang w:eastAsia="en-GB"/>
        </w:rPr>
        <w:tab/>
      </w:r>
      <w:hyperlink r:id="rId7" w:anchor="5" w:history="1">
        <w:r w:rsidRPr="007C77EF">
          <w:rPr>
            <w:rFonts w:ascii="Trebuchet MS" w:eastAsia="Times New Roman" w:hAnsi="Trebuchet MS" w:cs="Times New Roman"/>
            <w:color w:val="003366"/>
            <w:sz w:val="24"/>
            <w:szCs w:val="24"/>
            <w:u w:val="single"/>
            <w:lang w:eastAsia="en-GB"/>
          </w:rPr>
          <w:t>Treatment of tax efficient savings</w:t>
        </w:r>
      </w:hyperlink>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5</w:t>
      </w:r>
      <w:r>
        <w:rPr>
          <w:rFonts w:ascii="Trebuchet MS" w:eastAsia="Times New Roman" w:hAnsi="Trebuchet MS" w:cs="Times New Roman"/>
          <w:color w:val="003366"/>
          <w:sz w:val="24"/>
          <w:szCs w:val="24"/>
          <w:lang w:eastAsia="en-GB"/>
        </w:rPr>
        <w:tab/>
      </w:r>
      <w:hyperlink r:id="rId8" w:anchor="6" w:history="1">
        <w:r w:rsidRPr="007C77EF">
          <w:rPr>
            <w:rFonts w:ascii="Trebuchet MS" w:eastAsia="Times New Roman" w:hAnsi="Trebuchet MS" w:cs="Times New Roman"/>
            <w:color w:val="003366"/>
            <w:sz w:val="24"/>
            <w:szCs w:val="24"/>
            <w:u w:val="single"/>
            <w:lang w:eastAsia="en-GB"/>
          </w:rPr>
          <w:t>Outright gifts between spouses or civil partners</w:t>
        </w:r>
      </w:hyperlink>
    </w:p>
    <w:p w:rsidR="007C77EF" w:rsidRPr="007C77EF" w:rsidRDefault="007C77EF" w:rsidP="007C77EF">
      <w:pPr>
        <w:shd w:val="clear" w:color="auto" w:fill="FFFFFF"/>
        <w:spacing w:before="100" w:beforeAutospacing="1" w:after="100" w:afterAutospacing="1" w:line="240" w:lineRule="auto"/>
        <w:ind w:left="720" w:hanging="720"/>
        <w:rPr>
          <w:rFonts w:ascii="Trebuchet MS" w:eastAsia="Times New Roman" w:hAnsi="Trebuchet MS" w:cs="Times New Roman"/>
          <w:color w:val="003366"/>
          <w:sz w:val="24"/>
          <w:szCs w:val="24"/>
          <w:lang w:eastAsia="en-GB"/>
        </w:rPr>
      </w:pPr>
      <w:r>
        <w:rPr>
          <w:rFonts w:ascii="Trebuchet MS" w:eastAsia="Times New Roman" w:hAnsi="Trebuchet MS" w:cs="Times New Roman"/>
          <w:color w:val="003366"/>
          <w:sz w:val="24"/>
          <w:szCs w:val="24"/>
          <w:lang w:eastAsia="en-GB"/>
        </w:rPr>
        <w:t>6</w:t>
      </w:r>
      <w:r>
        <w:rPr>
          <w:rFonts w:ascii="Trebuchet MS" w:eastAsia="Times New Roman" w:hAnsi="Trebuchet MS" w:cs="Times New Roman"/>
          <w:color w:val="003366"/>
          <w:sz w:val="24"/>
          <w:szCs w:val="24"/>
          <w:lang w:eastAsia="en-GB"/>
        </w:rPr>
        <w:tab/>
      </w:r>
      <w:hyperlink r:id="rId9" w:anchor="7" w:history="1">
        <w:r w:rsidRPr="007C77EF">
          <w:rPr>
            <w:rFonts w:ascii="Trebuchet MS" w:eastAsia="Times New Roman" w:hAnsi="Trebuchet MS" w:cs="Times New Roman"/>
            <w:color w:val="003366"/>
            <w:sz w:val="24"/>
            <w:szCs w:val="24"/>
            <w:u w:val="single"/>
            <w:lang w:eastAsia="en-GB"/>
          </w:rPr>
          <w:t>The mechanics of rearranging assets to maximise the benefits of independent taxation within marriage</w:t>
        </w:r>
      </w:hyperlink>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0" w:name="1"/>
      <w:r>
        <w:rPr>
          <w:rFonts w:ascii="Trebuchet MS" w:eastAsia="Times New Roman" w:hAnsi="Trebuchet MS" w:cs="Times New Roman"/>
          <w:b/>
          <w:color w:val="003366"/>
          <w:sz w:val="24"/>
          <w:szCs w:val="24"/>
          <w:u w:val="single"/>
          <w:lang w:eastAsia="en-GB"/>
        </w:rPr>
        <w:t>1</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Personal reliefs</w:t>
      </w:r>
      <w:bookmarkEnd w:id="0"/>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Spouses/civil partners are each entitled to the personal allowance in their own right. If at least one of the couple was born before 6 April 1935, the higher earning spouse (provided marriage took place before 5 December 2005) is entitled to a married couple's allowance for the year of assessment at any time during which the spouse is living with him. For marriages/civil partnerships which took place on or after 5 December 2005 the spouse/civil partner with the higher net income is entitled to the allowance.</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b/>
          <w:bCs/>
          <w:color w:val="003366"/>
          <w:sz w:val="24"/>
          <w:szCs w:val="24"/>
          <w:lang w:eastAsia="en-GB"/>
        </w:rPr>
        <w:t>Transfer of married couple's allowance</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 spouse/civil partner may elect to be entitled to claim one-half of the minimum amount (£3,140 for 2014/15) for any year of assessment, the recipient's entitlement being correspondingly reduced. Alternatively, they may jointly elect for the non-recipient to be able to claim the full minimum amount, the recipient's entitlement being restricted to any age-related increase, although the recipient may then elect to be able to claim back one-half of the maximum amount (the non-recipient's entitlement being correspondingly reduced). A non-recipient is not, however, entitled to more than one deduction under these provisions in any year of assessment. An election under these provisions has to be made before the first year of assessment for which it is to have effect (or within the first 30 days of that year if prior notification of intention to elect has been given to the Inspector before the beginning of that year), and has effect until withdrawn or until a different election is made. If an election is to have effect for the year of assessment of marriage/civil partnership, it may be made during that year, but will only apply for that year to the reduced basic allowance available. An election may be withdrawn with effect from the year following that in which notice of withdrawal is given.</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b/>
          <w:bCs/>
          <w:color w:val="003366"/>
          <w:sz w:val="24"/>
          <w:szCs w:val="24"/>
          <w:lang w:eastAsia="en-GB"/>
        </w:rPr>
        <w:t>Transfer of blind person's allowance</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 xml:space="preserve">A spouse/civil partner may transfer to his/her spouse/civil partner (or vice versa) any part of the blind person's allowance that is in excess of his total income after all deductions (excluding married couple's allowance, loan interest and medical </w:t>
      </w:r>
      <w:r w:rsidRPr="007C77EF">
        <w:rPr>
          <w:rFonts w:ascii="Trebuchet MS" w:eastAsia="Times New Roman" w:hAnsi="Trebuchet MS" w:cs="Times New Roman"/>
          <w:color w:val="003366"/>
          <w:sz w:val="24"/>
          <w:szCs w:val="24"/>
          <w:lang w:eastAsia="en-GB"/>
        </w:rPr>
        <w:lastRenderedPageBreak/>
        <w:t>insurance premiums). The spouse/civil partner must notify the Inspector of the surrender</w:t>
      </w:r>
      <w:r>
        <w:rPr>
          <w:rFonts w:ascii="Trebuchet MS" w:eastAsia="Times New Roman" w:hAnsi="Trebuchet MS" w:cs="Times New Roman"/>
          <w:color w:val="003366"/>
          <w:sz w:val="24"/>
          <w:szCs w:val="24"/>
          <w:lang w:eastAsia="en-GB"/>
        </w:rPr>
        <w:t xml:space="preserve"> </w:t>
      </w:r>
      <w:r w:rsidRPr="007C77EF">
        <w:rPr>
          <w:rFonts w:ascii="Trebuchet MS" w:eastAsia="Times New Roman" w:hAnsi="Trebuchet MS" w:cs="Times New Roman"/>
          <w:color w:val="003366"/>
          <w:sz w:val="24"/>
          <w:szCs w:val="24"/>
          <w:lang w:eastAsia="en-GB"/>
        </w:rPr>
        <w:t>on or before the fifth anniversary of 31 January following the tax year to which it relates. Such notice is irrevocable.</w:t>
      </w:r>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1" w:name="2"/>
      <w:r>
        <w:rPr>
          <w:rFonts w:ascii="Trebuchet MS" w:eastAsia="Times New Roman" w:hAnsi="Trebuchet MS" w:cs="Times New Roman"/>
          <w:b/>
          <w:color w:val="003366"/>
          <w:sz w:val="24"/>
          <w:szCs w:val="24"/>
          <w:u w:val="single"/>
          <w:lang w:eastAsia="en-GB"/>
        </w:rPr>
        <w:t>2</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State pension</w:t>
      </w:r>
      <w:bookmarkEnd w:id="1"/>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 pension received by a wife on the basis of her husband's contributions is taxed as her income. A pension received by a man in respect of his wife who is under pensionable age will be taxed as his income.</w:t>
      </w:r>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2" w:name="4"/>
      <w:r>
        <w:rPr>
          <w:rFonts w:ascii="Trebuchet MS" w:eastAsia="Times New Roman" w:hAnsi="Trebuchet MS" w:cs="Times New Roman"/>
          <w:b/>
          <w:color w:val="003366"/>
          <w:sz w:val="24"/>
          <w:szCs w:val="24"/>
          <w:u w:val="single"/>
          <w:lang w:eastAsia="en-GB"/>
        </w:rPr>
        <w:t>3</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Income from jointly owned assets</w:t>
      </w:r>
      <w:bookmarkEnd w:id="2"/>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HMRC generally assumes that assets held in the joint names of a spouse/civil partner living together are owned in equal shares. Thus, each spouse/civil partner will be taxed on half the income from the asset.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The 50:50 rule does not however apply</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a couple are separated for tax purposes; the split of separated spouses'/civil partners' income is made on normal principles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property is held in the name of only one spouse/civil partner even if the other has a beneficial interest; there will be a trust and the split follows the entitlement of each spouse/civil partner to the income</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a husband and wife or civil partnership are beneficially entitled to property and the income from it, but the property is held in the name of a nominee (for example a bank). In these circumstances the split of the income follows the beneficial entitlement of each spouse to the income. (Where, however, the couple are joint beneficial owners the income is split equally between them.)</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neither a spouse/civil partner is beneficially entitled to any income from the asset; for example, where they hold the asset as trustees so that the income belongs to the beneficiaries of the trust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the couple do not hold 50:50 beneficial shares in the income and the capital and they choose to be assessed on their actual entitlements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the income is earned income (including such income from a trade or profession) or. trading or professional income of a sleeping partner</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Symbol" w:eastAsia="Times New Roman" w:hAnsi="Symbol" w:cs="Times New Roman"/>
          <w:color w:val="003366"/>
          <w:sz w:val="24"/>
          <w:szCs w:val="24"/>
          <w:lang w:eastAsia="en-GB"/>
        </w:rPr>
        <w:t></w:t>
      </w:r>
      <w:r w:rsidRPr="007C77EF">
        <w:rPr>
          <w:rFonts w:ascii="Times New Roman" w:eastAsia="Times New Roman" w:hAnsi="Times New Roman" w:cs="Times New Roman"/>
          <w:color w:val="003366"/>
          <w:sz w:val="14"/>
          <w:szCs w:val="14"/>
          <w:lang w:eastAsia="en-GB"/>
        </w:rPr>
        <w:t> </w:t>
      </w:r>
      <w:r w:rsidRPr="007C77EF">
        <w:rPr>
          <w:rFonts w:ascii="Trebuchet MS" w:eastAsia="Times New Roman" w:hAnsi="Trebuchet MS" w:cs="Times New Roman"/>
          <w:color w:val="003366"/>
          <w:sz w:val="24"/>
          <w:szCs w:val="24"/>
          <w:lang w:eastAsia="en-GB"/>
        </w:rPr>
        <w:t>where some other legislation has provided a different split; for example, the settlements legislation may provide another allocation.</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If, however, the asset is not owned equally, then it will be possible to make a declaration (on Form 17) to HMRC that the asset is owned in different proportions so that each spouse is taxed on their share of the income. In the absence of such a declaration income will be split 50:50. A declaration cannot be made in respect of interest from a bank or building society account.</w:t>
      </w:r>
    </w:p>
    <w:p w:rsid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3" w:name="5"/>
      <w:r>
        <w:rPr>
          <w:rFonts w:ascii="Trebuchet MS" w:eastAsia="Times New Roman" w:hAnsi="Trebuchet MS" w:cs="Times New Roman"/>
          <w:b/>
          <w:color w:val="003366"/>
          <w:sz w:val="24"/>
          <w:szCs w:val="24"/>
          <w:u w:val="single"/>
          <w:lang w:eastAsia="en-GB"/>
        </w:rPr>
        <w:lastRenderedPageBreak/>
        <w:t>4</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Treatment of tax efficient savings</w:t>
      </w:r>
      <w:bookmarkEnd w:id="3"/>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Enterprise investment scheme (EIS)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An EIS is a scheme under which investment can be made in an unquoted trading company which satisfies certain conditions.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Each spouse has an investment limit of £1,000,000 for tax year 2014/15. Also, an investment can be carried back to the previous tax year although, of course, subject to the overall investment limit of £1,000,000 per individual per tax year. Tax relief for an investment in new shares is restricted to 30% by way of deduction against tax otherwise payable. Provided certain conditions are satisfied, it is possible for an investor to defer the payment of tax on any recent capital gains by investing in an EIS.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Spouses and civil partners each obtain relief independently against their own income for a qualifying investment.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b/>
          <w:bCs/>
          <w:color w:val="003366"/>
          <w:sz w:val="24"/>
          <w:szCs w:val="24"/>
          <w:lang w:eastAsia="en-GB"/>
        </w:rPr>
        <w:t>Seed EIS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The SEIS focuses on smaller, early stage companies carrying on a new business in a qualifying trade. The scheme offers tax relief to investors who subscribe for shares and have a stake of less than 30% in the company.</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The maximum total an individual can invest in a SEIS is £100,000 per tax year, offering tax relief of 50%.</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 xml:space="preserve">For 2014/15 exemption from capital gains tax is limited to one half of the investment </w:t>
      </w:r>
      <w:r w:rsidR="00A70B4A" w:rsidRPr="007C77EF">
        <w:rPr>
          <w:rFonts w:ascii="Trebuchet MS" w:eastAsia="Times New Roman" w:hAnsi="Trebuchet MS" w:cs="Times New Roman"/>
          <w:color w:val="003366"/>
          <w:sz w:val="24"/>
          <w:szCs w:val="24"/>
          <w:lang w:eastAsia="en-GB"/>
        </w:rPr>
        <w:t>i.e.</w:t>
      </w:r>
      <w:r w:rsidRPr="007C77EF">
        <w:rPr>
          <w:rFonts w:ascii="Trebuchet MS" w:eastAsia="Times New Roman" w:hAnsi="Trebuchet MS" w:cs="Times New Roman"/>
          <w:color w:val="003366"/>
          <w:sz w:val="24"/>
          <w:szCs w:val="24"/>
          <w:lang w:eastAsia="en-GB"/>
        </w:rPr>
        <w:t xml:space="preserve"> maximum of £50,000 of gains realised by an individual and reinvested in a SEIS.</w:t>
      </w: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Venture capital trust (VCT)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 VCT is broadly an investment trust which invests predominantly in shares of certain unquoted trading companies. Tax relief at 30%, by way of deduction against tax otherwise payable, is available on investments in new shares of up to £200,000 in a tax year. Dividend payments from the trust can be received tax-free within limits.</w:t>
      </w:r>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4" w:name="6"/>
      <w:r>
        <w:rPr>
          <w:rFonts w:ascii="Trebuchet MS" w:eastAsia="Times New Roman" w:hAnsi="Trebuchet MS" w:cs="Times New Roman"/>
          <w:b/>
          <w:color w:val="003366"/>
          <w:sz w:val="24"/>
          <w:szCs w:val="24"/>
          <w:u w:val="single"/>
          <w:lang w:eastAsia="en-GB"/>
        </w:rPr>
        <w:t>5</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Outright gifts between spouses or civil partners</w:t>
      </w:r>
      <w:bookmarkEnd w:id="4"/>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Income from an outright gift between a spouse or civil partner is to be taxed as the income of the recipient, and not as the income of the person making the gift.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This does not apply to a gift between a spouse/civil partner of a right to receive income (section 626 ITTIOA 2005). Such income is to be treated as that of the donor spouse/civil partner. HMRC has attacked some spouse/civil partner partnerships where, in their opinion, a genuine partnership does not exist and where they feel that the income split between the spouse/civil partner is not justified by virtue of the extent of the involvement of the lesser involved spouse.</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lastRenderedPageBreak/>
        <w:t>A gift is not an outright gift if it is subject to conditions or if it could revert to the donor in any circumstances whatsoever. However, in HMRC's view, 'in any circumstances whatsoever' does not include an independent decision by the recipient spouse to return it to the donor.</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 xml:space="preserve">Where there is a straightforward gift or transfer of an asset from the sole ownership of a spouse/civil partner into joint ownership by the couple the income from the asset would be divided between the spouses/civil partners in accordance with the normal rules for jointly held property, </w:t>
      </w:r>
      <w:r w:rsidR="00A70B4A" w:rsidRPr="007C77EF">
        <w:rPr>
          <w:rFonts w:ascii="Trebuchet MS" w:eastAsia="Times New Roman" w:hAnsi="Trebuchet MS" w:cs="Times New Roman"/>
          <w:color w:val="003366"/>
          <w:sz w:val="24"/>
          <w:szCs w:val="24"/>
          <w:lang w:eastAsia="en-GB"/>
        </w:rPr>
        <w:t>i.e.</w:t>
      </w:r>
      <w:bookmarkStart w:id="5" w:name="_GoBack"/>
      <w:bookmarkEnd w:id="5"/>
      <w:r w:rsidRPr="007C77EF">
        <w:rPr>
          <w:rFonts w:ascii="Trebuchet MS" w:eastAsia="Times New Roman" w:hAnsi="Trebuchet MS" w:cs="Times New Roman"/>
          <w:color w:val="003366"/>
          <w:sz w:val="24"/>
          <w:szCs w:val="24"/>
          <w:lang w:eastAsia="en-GB"/>
        </w:rPr>
        <w:t xml:space="preserve"> a 50:50 split.</w:t>
      </w:r>
    </w:p>
    <w:p w:rsid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bookmarkStart w:id="6" w:name="7"/>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u w:val="single"/>
          <w:lang w:eastAsia="en-GB"/>
        </w:rPr>
      </w:pPr>
      <w:r>
        <w:rPr>
          <w:rFonts w:ascii="Trebuchet MS" w:eastAsia="Times New Roman" w:hAnsi="Trebuchet MS" w:cs="Times New Roman"/>
          <w:b/>
          <w:color w:val="003366"/>
          <w:sz w:val="24"/>
          <w:szCs w:val="24"/>
          <w:u w:val="single"/>
          <w:lang w:eastAsia="en-GB"/>
        </w:rPr>
        <w:t>6</w:t>
      </w:r>
      <w:r>
        <w:rPr>
          <w:rFonts w:ascii="Trebuchet MS" w:eastAsia="Times New Roman" w:hAnsi="Trebuchet MS" w:cs="Times New Roman"/>
          <w:b/>
          <w:color w:val="003366"/>
          <w:sz w:val="24"/>
          <w:szCs w:val="24"/>
          <w:u w:val="single"/>
          <w:lang w:eastAsia="en-GB"/>
        </w:rPr>
        <w:tab/>
      </w:r>
      <w:r w:rsidRPr="007C77EF">
        <w:rPr>
          <w:rFonts w:ascii="Trebuchet MS" w:eastAsia="Times New Roman" w:hAnsi="Trebuchet MS" w:cs="Times New Roman"/>
          <w:b/>
          <w:color w:val="003366"/>
          <w:sz w:val="24"/>
          <w:szCs w:val="24"/>
          <w:u w:val="single"/>
          <w:lang w:eastAsia="en-GB"/>
        </w:rPr>
        <w:t>The mechanics of rearranging assets to maximise the benefits of independent taxation within marriage</w:t>
      </w:r>
      <w:bookmarkEnd w:id="6"/>
      <w:r>
        <w:rPr>
          <w:rFonts w:ascii="Trebuchet MS" w:eastAsia="Times New Roman" w:hAnsi="Trebuchet MS" w:cs="Times New Roman"/>
          <w:b/>
          <w:color w:val="003366"/>
          <w:sz w:val="24"/>
          <w:szCs w:val="24"/>
          <w:u w:val="single"/>
          <w:lang w:eastAsia="en-GB"/>
        </w:rPr>
        <w:t>.</w:t>
      </w:r>
    </w:p>
    <w:p w:rsidR="007C77EF" w:rsidRDefault="007C77EF" w:rsidP="007C77EF">
      <w:pPr>
        <w:spacing w:after="0" w:line="240" w:lineRule="auto"/>
        <w:rPr>
          <w:rFonts w:ascii="Trebuchet MS" w:eastAsia="Times New Roman" w:hAnsi="Trebuchet MS" w:cs="Times New Roman"/>
          <w:b/>
          <w:bCs/>
          <w:color w:val="003366"/>
          <w:sz w:val="24"/>
          <w:szCs w:val="24"/>
          <w:shd w:val="clear" w:color="auto" w:fill="FFFFFF"/>
          <w:lang w:eastAsia="en-GB"/>
        </w:rPr>
      </w:pPr>
    </w:p>
    <w:p w:rsidR="007C77EF" w:rsidRPr="007C77EF" w:rsidRDefault="007C77EF" w:rsidP="007C77EF">
      <w:pPr>
        <w:spacing w:after="0" w:line="240" w:lineRule="auto"/>
        <w:rPr>
          <w:rFonts w:ascii="Times New Roman" w:eastAsia="Times New Roman" w:hAnsi="Times New Roman" w:cs="Times New Roman"/>
          <w:b/>
          <w:bCs/>
          <w:sz w:val="24"/>
          <w:szCs w:val="24"/>
          <w:shd w:val="clear" w:color="auto" w:fill="FFFFFF"/>
          <w:lang w:eastAsia="en-GB"/>
        </w:rPr>
      </w:pPr>
      <w:r w:rsidRPr="007C77EF">
        <w:rPr>
          <w:rFonts w:ascii="Trebuchet MS" w:eastAsia="Times New Roman" w:hAnsi="Trebuchet MS" w:cs="Times New Roman"/>
          <w:b/>
          <w:bCs/>
          <w:color w:val="003366"/>
          <w:sz w:val="24"/>
          <w:szCs w:val="24"/>
          <w:shd w:val="clear" w:color="auto" w:fill="FFFFFF"/>
          <w:lang w:eastAsia="en-GB"/>
        </w:rPr>
        <w:t>(a) To make outright gifts</w:t>
      </w:r>
    </w:p>
    <w:p w:rsidR="007C77EF" w:rsidRPr="007C77EF" w:rsidRDefault="007C77EF" w:rsidP="007C77EF">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lang w:eastAsia="en-GB"/>
        </w:rPr>
        <w:t>1. Bank/Building Society accounts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Close the bank account and reopen it in new names or merely rename it: check on exact procedure with the bank concerned.</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With building societies, open a new account and transfer money into it leaving a nominal sum in the existing account.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b/>
          <w:bCs/>
          <w:color w:val="003366"/>
          <w:sz w:val="24"/>
          <w:szCs w:val="24"/>
          <w:lang w:eastAsia="en-GB"/>
        </w:rPr>
        <w:t>2. Life Assurance Bonds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Use a deed of assignment.</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b/>
          <w:bCs/>
          <w:color w:val="003366"/>
          <w:sz w:val="24"/>
          <w:szCs w:val="24"/>
          <w:lang w:eastAsia="en-GB"/>
        </w:rPr>
        <w:t>3. Unit Trusts and Stocks and Shares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Use a stock transfer form.</w:t>
      </w: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(b) To transfer investments into joint ownership (where income and gains are to be taxed 50/50)</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The formalities are as for outright gifts. For assets other than building society accounts and bank accounts, taxpayers may wish to own the asset as tenants in common. This enables each party to dispose of his or her beneficial interest in the asset, for example on death, thus avoiding the automatic reversion to the survivor. In order to do this a declaration of tenancy in common must be completed to hold the property in equal shares.</w:t>
      </w: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(c) To transfer investments into joint ownership (income/gains to be taxed other than 50/50)</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Cannot be used for building society accounts or bank accounts.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As for 50/50 ownership except that instead of equal shares the appropriate proportions are stated in the declaration of tenancy in common.</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lastRenderedPageBreak/>
        <w:t>An election is made to the local Tax Office using a Notice of Declaration of Beneficial Interest in Joint Property and Income (Form 17).</w:t>
      </w: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(d) To rearrange the beneficial entitlement to property which is already held jointly</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Where income/gains are already shared and they are to be shared on a revised basis a declaration of tenancy in common must be completed and an election made to the local tax office using a Notice of Declaration of Beneficial Interest in Joint Property and Income (Form 17).</w:t>
      </w:r>
    </w:p>
    <w:p w:rsidR="007C77EF" w:rsidRDefault="007C77EF" w:rsidP="007C77EF">
      <w:pPr>
        <w:shd w:val="clear" w:color="auto" w:fill="FFFFFF"/>
        <w:spacing w:after="0" w:line="240" w:lineRule="auto"/>
        <w:rPr>
          <w:rFonts w:ascii="Trebuchet MS" w:eastAsia="Times New Roman" w:hAnsi="Trebuchet MS" w:cs="Times New Roman"/>
          <w:b/>
          <w:color w:val="003366"/>
          <w:sz w:val="24"/>
          <w:szCs w:val="24"/>
          <w:lang w:eastAsia="en-GB"/>
        </w:rPr>
      </w:pPr>
      <w:bookmarkStart w:id="7" w:name="8"/>
      <w:r w:rsidRPr="007C77EF">
        <w:rPr>
          <w:rFonts w:ascii="Trebuchet MS" w:eastAsia="Times New Roman" w:hAnsi="Trebuchet MS" w:cs="Times New Roman"/>
          <w:b/>
          <w:color w:val="003366"/>
          <w:sz w:val="24"/>
          <w:szCs w:val="24"/>
          <w:lang w:eastAsia="en-GB"/>
        </w:rPr>
        <w:t>Planning points</w:t>
      </w:r>
      <w:bookmarkEnd w:id="7"/>
    </w:p>
    <w:p w:rsidR="007C77EF" w:rsidRPr="007C77EF" w:rsidRDefault="007C77EF" w:rsidP="007C77EF">
      <w:pPr>
        <w:shd w:val="clear" w:color="auto" w:fill="FFFFFF"/>
        <w:spacing w:after="0" w:line="240" w:lineRule="auto"/>
        <w:rPr>
          <w:rFonts w:ascii="Trebuchet MS" w:eastAsia="Times New Roman" w:hAnsi="Trebuchet MS" w:cs="Times New Roman"/>
          <w:b/>
          <w:color w:val="003366"/>
          <w:sz w:val="24"/>
          <w:szCs w:val="24"/>
          <w:lang w:eastAsia="en-GB"/>
        </w:rPr>
      </w:pPr>
    </w:p>
    <w:p w:rsidR="007C77EF" w:rsidRPr="007C77EF" w:rsidRDefault="007C77EF" w:rsidP="007C77EF">
      <w:pPr>
        <w:spacing w:after="0" w:line="240" w:lineRule="auto"/>
        <w:rPr>
          <w:rFonts w:ascii="Times New Roman" w:eastAsia="Times New Roman" w:hAnsi="Times New Roman" w:cs="Times New Roman"/>
          <w:sz w:val="24"/>
          <w:szCs w:val="24"/>
          <w:lang w:eastAsia="en-GB"/>
        </w:rPr>
      </w:pPr>
      <w:r w:rsidRPr="007C77EF">
        <w:rPr>
          <w:rFonts w:ascii="Trebuchet MS" w:eastAsia="Times New Roman" w:hAnsi="Trebuchet MS" w:cs="Times New Roman"/>
          <w:b/>
          <w:bCs/>
          <w:color w:val="003366"/>
          <w:sz w:val="24"/>
          <w:szCs w:val="24"/>
          <w:shd w:val="clear" w:color="auto" w:fill="FFFFFF"/>
          <w:lang w:eastAsia="en-GB"/>
        </w:rPr>
        <w:t>Both spouses/civil partners born after 5 April 1935</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A considerable tax saving could be achieved by rearranging ownership of the income producing assets between the spouses/civil partners. This is to ensure that each spouse/civil partner has at least sufficient taxable income to utilise their personal allowances.</w:t>
      </w:r>
    </w:p>
    <w:p w:rsidR="007C77EF" w:rsidRPr="007C77EF" w:rsidRDefault="007C77EF" w:rsidP="007C77EF">
      <w:pPr>
        <w:shd w:val="clear" w:color="auto" w:fill="FFFFFF"/>
        <w:spacing w:before="100" w:beforeAutospacing="1" w:after="100" w:afterAutospacing="1" w:line="240" w:lineRule="auto"/>
        <w:rPr>
          <w:rFonts w:ascii="Trebuchet MS" w:eastAsia="Times New Roman" w:hAnsi="Trebuchet MS" w:cs="Times New Roman"/>
          <w:color w:val="003366"/>
          <w:sz w:val="24"/>
          <w:szCs w:val="24"/>
          <w:lang w:eastAsia="en-GB"/>
        </w:rPr>
      </w:pPr>
      <w:r w:rsidRPr="007C77EF">
        <w:rPr>
          <w:rFonts w:ascii="Trebuchet MS" w:eastAsia="Times New Roman" w:hAnsi="Trebuchet MS" w:cs="Times New Roman"/>
          <w:color w:val="003366"/>
          <w:sz w:val="24"/>
          <w:szCs w:val="24"/>
          <w:lang w:eastAsia="en-GB"/>
        </w:rPr>
        <w:t>When one spouse/civil partner is paying tax at the higher rate and the other no tax, or tax at the basic/ starting rate, consideration should be given to transferring income-producing assets to the lower taxpaying spouse/civil partner to take as much advantage as possible of that recipient's basic/starting rate tax band.</w:t>
      </w:r>
    </w:p>
    <w:p w:rsidR="008B6A10" w:rsidRPr="007C77EF" w:rsidRDefault="008B6A10" w:rsidP="007C77EF"/>
    <w:sectPr w:rsidR="008B6A10" w:rsidRPr="007C77EF" w:rsidSect="002F5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602F"/>
    <w:rsid w:val="00074703"/>
    <w:rsid w:val="001D165A"/>
    <w:rsid w:val="001F602F"/>
    <w:rsid w:val="00200866"/>
    <w:rsid w:val="00296C1A"/>
    <w:rsid w:val="002F569F"/>
    <w:rsid w:val="005C358D"/>
    <w:rsid w:val="0075317C"/>
    <w:rsid w:val="007C77EF"/>
    <w:rsid w:val="007D2C6C"/>
    <w:rsid w:val="008B6A10"/>
    <w:rsid w:val="009A75C2"/>
    <w:rsid w:val="009F4A86"/>
    <w:rsid w:val="00A70B4A"/>
    <w:rsid w:val="00AB071B"/>
    <w:rsid w:val="00B07F7C"/>
    <w:rsid w:val="00BF3401"/>
    <w:rsid w:val="00C46F90"/>
    <w:rsid w:val="00C500CD"/>
    <w:rsid w:val="00D96E05"/>
    <w:rsid w:val="00DE3CEC"/>
    <w:rsid w:val="00F2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FB5B0-A0F8-436E-8A46-6EA89F9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7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C77EF"/>
    <w:rPr>
      <w:color w:val="0000FF"/>
      <w:u w:val="single"/>
    </w:rPr>
  </w:style>
  <w:style w:type="character" w:styleId="Strong">
    <w:name w:val="Strong"/>
    <w:basedOn w:val="DefaultParagraphFont"/>
    <w:uiPriority w:val="22"/>
    <w:qFormat/>
    <w:rsid w:val="007C77EF"/>
    <w:rPr>
      <w:b/>
      <w:bCs/>
    </w:rPr>
  </w:style>
  <w:style w:type="character" w:customStyle="1" w:styleId="apple-converted-space">
    <w:name w:val="apple-converted-space"/>
    <w:basedOn w:val="DefaultParagraphFont"/>
    <w:rsid w:val="007C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1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nk.co.uk/informationlibrary.asp?ID=97126" TargetMode="External"/><Relationship Id="rId3" Type="http://schemas.openxmlformats.org/officeDocument/2006/relationships/webSettings" Target="webSettings.xml"/><Relationship Id="rId7" Type="http://schemas.openxmlformats.org/officeDocument/2006/relationships/hyperlink" Target="https://www.techlink.co.uk/informationlibrary.asp?ID=971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link.co.uk/informationlibrary.asp?ID=97126" TargetMode="External"/><Relationship Id="rId11" Type="http://schemas.openxmlformats.org/officeDocument/2006/relationships/theme" Target="theme/theme1.xml"/><Relationship Id="rId5" Type="http://schemas.openxmlformats.org/officeDocument/2006/relationships/hyperlink" Target="https://www.techlink.co.uk/informationlibrary.asp?ID=97126" TargetMode="External"/><Relationship Id="rId10" Type="http://schemas.openxmlformats.org/officeDocument/2006/relationships/fontTable" Target="fontTable.xml"/><Relationship Id="rId4" Type="http://schemas.openxmlformats.org/officeDocument/2006/relationships/hyperlink" Target="https://www.techlink.co.uk/informationlibrary.asp?ID=97126" TargetMode="External"/><Relationship Id="rId9" Type="http://schemas.openxmlformats.org/officeDocument/2006/relationships/hyperlink" Target="https://www.techlink.co.uk/informationlibrary.asp?ID=97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Hasler</dc:creator>
  <cp:keywords/>
  <dc:description/>
  <cp:lastModifiedBy>Simon</cp:lastModifiedBy>
  <cp:revision>3</cp:revision>
  <dcterms:created xsi:type="dcterms:W3CDTF">2015-06-23T14:59:00Z</dcterms:created>
  <dcterms:modified xsi:type="dcterms:W3CDTF">2015-06-23T15:00:00Z</dcterms:modified>
</cp:coreProperties>
</file>